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Ind w:w="2" w:type="dxa"/>
        <w:tblLook w:val="0000" w:firstRow="0" w:lastRow="0" w:firstColumn="0" w:lastColumn="0" w:noHBand="0" w:noVBand="0"/>
      </w:tblPr>
      <w:tblGrid>
        <w:gridCol w:w="2442"/>
        <w:gridCol w:w="2610"/>
        <w:gridCol w:w="651"/>
        <w:gridCol w:w="1332"/>
        <w:gridCol w:w="2340"/>
      </w:tblGrid>
      <w:tr w:rsidR="00EF1FC0" w:rsidRPr="00CB47FC" w:rsidTr="008625CE">
        <w:trPr>
          <w:trHeight w:val="368"/>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Title</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FD7557" w:rsidP="005D1B22">
            <w:pPr>
              <w:jc w:val="left"/>
              <w:rPr>
                <w:rFonts w:asciiTheme="minorHAnsi" w:hAnsiTheme="minorHAnsi" w:cstheme="minorHAnsi"/>
                <w:bCs/>
                <w:sz w:val="22"/>
                <w:szCs w:val="22"/>
              </w:rPr>
            </w:pPr>
            <w:r>
              <w:rPr>
                <w:rFonts w:asciiTheme="minorHAnsi" w:hAnsiTheme="minorHAnsi" w:cstheme="minorHAnsi"/>
                <w:bCs/>
                <w:sz w:val="22"/>
                <w:szCs w:val="22"/>
              </w:rPr>
              <w:t>Simulation Technician</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Job Category</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FD7557" w:rsidP="004B0094">
            <w:pPr>
              <w:rPr>
                <w:rFonts w:asciiTheme="minorHAnsi" w:hAnsiTheme="minorHAnsi" w:cstheme="minorHAnsi"/>
                <w:bCs/>
                <w:sz w:val="22"/>
                <w:szCs w:val="22"/>
              </w:rPr>
            </w:pPr>
            <w:r>
              <w:rPr>
                <w:rFonts w:asciiTheme="minorHAnsi" w:hAnsiTheme="minorHAnsi" w:cstheme="minorHAnsi"/>
                <w:bCs/>
                <w:sz w:val="22"/>
                <w:szCs w:val="22"/>
              </w:rPr>
              <w:t>Architect</w:t>
            </w:r>
          </w:p>
        </w:tc>
      </w:tr>
      <w:tr w:rsidR="00EF1FC0" w:rsidRPr="00CB47FC"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Location</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FD7557" w:rsidP="005D1B22">
            <w:pPr>
              <w:jc w:val="left"/>
              <w:rPr>
                <w:rFonts w:asciiTheme="minorHAnsi" w:hAnsiTheme="minorHAnsi" w:cstheme="minorHAnsi"/>
                <w:sz w:val="22"/>
                <w:szCs w:val="22"/>
              </w:rPr>
            </w:pPr>
            <w:r>
              <w:rPr>
                <w:rFonts w:asciiTheme="minorHAnsi" w:hAnsiTheme="minorHAnsi" w:cstheme="minorHAnsi"/>
                <w:sz w:val="22"/>
                <w:szCs w:val="22"/>
              </w:rPr>
              <w:t>Jacksonville, FL and San Diego, CA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Travel Required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FD7557" w:rsidP="004B0094">
            <w:pPr>
              <w:rPr>
                <w:rFonts w:asciiTheme="minorHAnsi" w:hAnsiTheme="minorHAnsi" w:cstheme="minorHAnsi"/>
                <w:sz w:val="22"/>
                <w:szCs w:val="22"/>
              </w:rPr>
            </w:pPr>
            <w:r>
              <w:rPr>
                <w:rFonts w:asciiTheme="minorHAnsi" w:hAnsiTheme="minorHAnsi" w:cstheme="minorHAnsi"/>
                <w:sz w:val="22"/>
                <w:szCs w:val="22"/>
              </w:rPr>
              <w:t>Some Possible</w:t>
            </w:r>
          </w:p>
        </w:tc>
      </w:tr>
      <w:tr w:rsidR="00EF1FC0" w:rsidRPr="00CB47FC"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Level/Salary Range</w:t>
            </w:r>
            <w:r w:rsidR="00EF1FC0" w:rsidRPr="00CB47FC">
              <w:rPr>
                <w:rFonts w:ascii="Century Gothic" w:hAnsi="Century Gothic" w:cs="Tahoma"/>
                <w:bCs/>
                <w:color w:val="FFFFFF"/>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FD7557" w:rsidP="005D1B22">
            <w:pPr>
              <w:jc w:val="left"/>
              <w:rPr>
                <w:rFonts w:asciiTheme="minorHAnsi" w:hAnsiTheme="minorHAnsi" w:cstheme="minorHAnsi"/>
                <w:sz w:val="22"/>
                <w:szCs w:val="22"/>
              </w:rPr>
            </w:pPr>
            <w:r>
              <w:rPr>
                <w:rFonts w:asciiTheme="minorHAnsi" w:hAnsiTheme="minorHAnsi" w:cstheme="minorHAnsi"/>
                <w:sz w:val="22"/>
                <w:szCs w:val="22"/>
              </w:rPr>
              <w:t>TBD</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Type</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FD7557" w:rsidP="0082202A">
            <w:pPr>
              <w:rPr>
                <w:rFonts w:asciiTheme="minorHAnsi" w:hAnsiTheme="minorHAnsi" w:cstheme="minorHAnsi"/>
                <w:sz w:val="22"/>
                <w:szCs w:val="22"/>
              </w:rPr>
            </w:pPr>
            <w:r>
              <w:rPr>
                <w:rFonts w:asciiTheme="minorHAnsi" w:hAnsiTheme="minorHAnsi" w:cstheme="minorHAnsi"/>
                <w:sz w:val="22"/>
                <w:szCs w:val="22"/>
              </w:rPr>
              <w:t>Full-time exempt</w:t>
            </w:r>
          </w:p>
        </w:tc>
      </w:tr>
      <w:tr w:rsidR="00EF1FC0" w:rsidRPr="00CB47FC"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HR Contact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FD7557" w:rsidP="005D1B22">
            <w:pPr>
              <w:spacing w:after="40"/>
              <w:jc w:val="left"/>
              <w:rPr>
                <w:rFonts w:asciiTheme="minorHAnsi" w:hAnsiTheme="minorHAnsi" w:cstheme="minorHAnsi"/>
                <w:sz w:val="22"/>
                <w:szCs w:val="22"/>
              </w:rPr>
            </w:pPr>
            <w:r>
              <w:rPr>
                <w:rFonts w:asciiTheme="minorHAnsi" w:hAnsiTheme="minorHAnsi" w:cstheme="minorHAnsi"/>
                <w:sz w:val="22"/>
                <w:szCs w:val="22"/>
              </w:rPr>
              <w:t>Suzanne Pozefsky</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Date Posted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rsidR="00EF1FC0" w:rsidRPr="00CB47FC" w:rsidRDefault="00FD7557" w:rsidP="00FD7557">
            <w:pPr>
              <w:spacing w:after="40"/>
              <w:rPr>
                <w:rFonts w:asciiTheme="minorHAnsi" w:hAnsiTheme="minorHAnsi" w:cstheme="minorHAnsi"/>
                <w:sz w:val="22"/>
                <w:szCs w:val="22"/>
              </w:rPr>
            </w:pPr>
            <w:r>
              <w:rPr>
                <w:rFonts w:asciiTheme="minorHAnsi" w:hAnsiTheme="minorHAnsi" w:cstheme="minorHAnsi"/>
                <w:sz w:val="22"/>
                <w:szCs w:val="22"/>
              </w:rPr>
              <w:t>February 26, 2013</w:t>
            </w:r>
            <w:r w:rsidR="00E90CF5" w:rsidRPr="00CB47FC">
              <w:rPr>
                <w:rFonts w:asciiTheme="minorHAnsi" w:hAnsiTheme="minorHAnsi" w:cstheme="minorHAnsi"/>
                <w:sz w:val="22"/>
                <w:szCs w:val="22"/>
              </w:rPr>
              <w:t xml:space="preserve"> </w:t>
            </w:r>
          </w:p>
        </w:tc>
      </w:tr>
      <w:tr w:rsidR="007D0765" w:rsidRPr="00CB47FC"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rsidR="007D0765" w:rsidRPr="00CB47FC" w:rsidRDefault="0082202A"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Will Train Applicant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rsidR="007D0765" w:rsidRPr="00CB47FC" w:rsidRDefault="00FD7557" w:rsidP="005D1B22">
            <w:pPr>
              <w:spacing w:after="40"/>
              <w:jc w:val="left"/>
              <w:rPr>
                <w:rFonts w:asciiTheme="minorHAnsi" w:hAnsiTheme="minorHAnsi" w:cstheme="minorHAnsi"/>
                <w:sz w:val="22"/>
                <w:szCs w:val="22"/>
              </w:rPr>
            </w:pPr>
            <w:r>
              <w:rPr>
                <w:rFonts w:asciiTheme="minorHAnsi" w:hAnsiTheme="minorHAnsi" w:cstheme="minorHAnsi"/>
                <w:sz w:val="22"/>
                <w:szCs w:val="22"/>
              </w:rPr>
              <w:t>N/A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rsidR="007D0765"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Expires</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rsidR="007D0765" w:rsidRPr="00CB47FC" w:rsidRDefault="007D0765" w:rsidP="004B0094">
            <w:pPr>
              <w:spacing w:after="40"/>
              <w:rPr>
                <w:rFonts w:asciiTheme="minorHAnsi" w:hAnsiTheme="minorHAnsi" w:cstheme="minorHAnsi"/>
                <w:sz w:val="22"/>
                <w:szCs w:val="22"/>
              </w:rPr>
            </w:pPr>
            <w:r w:rsidRPr="00CB47FC">
              <w:rPr>
                <w:rFonts w:asciiTheme="minorHAnsi" w:hAnsiTheme="minorHAnsi" w:cstheme="minorHAnsi"/>
                <w:sz w:val="22"/>
                <w:szCs w:val="22"/>
              </w:rPr>
              <w:t>Open until filled</w:t>
            </w:r>
          </w:p>
        </w:tc>
      </w:tr>
      <w:tr w:rsidR="00EF1FC0" w:rsidRPr="00CB47FC" w:rsidTr="006173EC">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PrEx>
        <w:trPr>
          <w:cantSplit/>
          <w:trHeight w:val="507"/>
          <w:tblHeader/>
        </w:trPr>
        <w:tc>
          <w:tcPr>
            <w:tcW w:w="93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FC0" w:rsidRPr="00CB47FC" w:rsidRDefault="007D0765" w:rsidP="004B0094">
            <w:pPr>
              <w:pStyle w:val="Heading3"/>
              <w:jc w:val="left"/>
              <w:rPr>
                <w:rFonts w:ascii="Century Gothic" w:hAnsi="Century Gothic" w:cs="Times New Roman"/>
                <w:b w:val="0"/>
                <w:sz w:val="22"/>
                <w:szCs w:val="22"/>
              </w:rPr>
            </w:pPr>
            <w:r w:rsidRPr="00CB47FC">
              <w:rPr>
                <w:rFonts w:ascii="Century Gothic" w:hAnsi="Century Gothic"/>
                <w:b w:val="0"/>
                <w:sz w:val="22"/>
                <w:szCs w:val="22"/>
              </w:rPr>
              <w:t>Resume/Applications Accepted by:</w:t>
            </w:r>
          </w:p>
        </w:tc>
      </w:tr>
      <w:tr w:rsidR="00EF1FC0" w:rsidRPr="00CB47FC" w:rsidTr="0054415B">
        <w:trPr>
          <w:cantSplit/>
          <w:trHeight w:val="1484"/>
          <w:tblHeader/>
        </w:trPr>
        <w:tc>
          <w:tcPr>
            <w:tcW w:w="57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1FC0" w:rsidRPr="00CB47FC" w:rsidRDefault="007D0765" w:rsidP="00976986">
            <w:pPr>
              <w:pStyle w:val="Heading3"/>
              <w:jc w:val="left"/>
              <w:rPr>
                <w:rFonts w:asciiTheme="minorHAnsi" w:hAnsiTheme="minorHAnsi" w:cstheme="minorHAnsi"/>
                <w:sz w:val="22"/>
                <w:szCs w:val="22"/>
              </w:rPr>
            </w:pPr>
            <w:r w:rsidRPr="00CB47FC">
              <w:rPr>
                <w:rFonts w:asciiTheme="minorHAnsi" w:hAnsiTheme="minorHAnsi" w:cstheme="minorHAnsi"/>
                <w:sz w:val="22"/>
                <w:szCs w:val="22"/>
              </w:rPr>
              <w:t>F</w:t>
            </w:r>
            <w:r w:rsidR="00976986" w:rsidRPr="00CB47FC">
              <w:rPr>
                <w:rFonts w:asciiTheme="minorHAnsi" w:hAnsiTheme="minorHAnsi" w:cstheme="minorHAnsi"/>
                <w:sz w:val="22"/>
                <w:szCs w:val="22"/>
              </w:rPr>
              <w:t>ax</w:t>
            </w:r>
          </w:p>
          <w:p w:rsidR="00976986" w:rsidRPr="00CB47FC" w:rsidRDefault="00976986" w:rsidP="00976986">
            <w:pPr>
              <w:pStyle w:val="Heading3"/>
              <w:jc w:val="left"/>
              <w:rPr>
                <w:rFonts w:asciiTheme="minorHAnsi" w:hAnsiTheme="minorHAnsi" w:cstheme="minorHAnsi"/>
                <w:b w:val="0"/>
                <w:bCs w:val="0"/>
                <w:sz w:val="22"/>
                <w:szCs w:val="22"/>
              </w:rPr>
            </w:pPr>
            <w:r w:rsidRPr="00CB47FC">
              <w:rPr>
                <w:rFonts w:asciiTheme="minorHAnsi" w:hAnsiTheme="minorHAnsi" w:cstheme="minorHAnsi"/>
                <w:b w:val="0"/>
                <w:bCs w:val="0"/>
                <w:sz w:val="22"/>
                <w:szCs w:val="22"/>
              </w:rPr>
              <w:t xml:space="preserve">301-309-8314 </w:t>
            </w:r>
          </w:p>
          <w:p w:rsidR="00976986" w:rsidRPr="00CB47FC" w:rsidRDefault="00976986" w:rsidP="00976986">
            <w:pPr>
              <w:rPr>
                <w:rFonts w:asciiTheme="minorHAnsi" w:hAnsiTheme="minorHAnsi" w:cstheme="minorHAnsi"/>
                <w:sz w:val="22"/>
                <w:szCs w:val="22"/>
              </w:rPr>
            </w:pPr>
            <w:r w:rsidRPr="00CB47FC">
              <w:rPr>
                <w:rFonts w:asciiTheme="minorHAnsi" w:hAnsiTheme="minorHAnsi" w:cstheme="minorHAnsi"/>
                <w:sz w:val="22"/>
                <w:szCs w:val="22"/>
              </w:rPr>
              <w:t xml:space="preserve">Attention: </w:t>
            </w:r>
            <w:r w:rsidR="00FD7557">
              <w:rPr>
                <w:rFonts w:asciiTheme="minorHAnsi" w:hAnsiTheme="minorHAnsi" w:cstheme="minorHAnsi"/>
                <w:sz w:val="22"/>
                <w:szCs w:val="22"/>
              </w:rPr>
              <w:t>Suzanne Pozefsky</w:t>
            </w:r>
          </w:p>
          <w:p w:rsidR="00976986" w:rsidRPr="00CB47FC" w:rsidRDefault="00976986" w:rsidP="0054415B">
            <w:pPr>
              <w:spacing w:before="120"/>
              <w:rPr>
                <w:rFonts w:asciiTheme="minorHAnsi" w:hAnsiTheme="minorHAnsi" w:cstheme="minorHAnsi"/>
                <w:b/>
                <w:sz w:val="22"/>
                <w:szCs w:val="22"/>
              </w:rPr>
            </w:pPr>
            <w:r w:rsidRPr="00CB47FC">
              <w:rPr>
                <w:rFonts w:asciiTheme="minorHAnsi" w:hAnsiTheme="minorHAnsi" w:cstheme="minorHAnsi"/>
                <w:b/>
                <w:sz w:val="22"/>
                <w:szCs w:val="22"/>
              </w:rPr>
              <w:t>Email</w:t>
            </w:r>
          </w:p>
          <w:p w:rsidR="00976986" w:rsidRPr="00CB47FC" w:rsidRDefault="005C01DA" w:rsidP="00FD7557">
            <w:pPr>
              <w:rPr>
                <w:rFonts w:asciiTheme="minorHAnsi" w:hAnsiTheme="minorHAnsi" w:cstheme="minorHAnsi"/>
                <w:sz w:val="22"/>
                <w:szCs w:val="22"/>
              </w:rPr>
            </w:pPr>
            <w:hyperlink r:id="rId9" w:history="1">
              <w:r w:rsidRPr="0067318F">
                <w:rPr>
                  <w:rStyle w:val="Hyperlink"/>
                  <w:rFonts w:asciiTheme="minorHAnsi" w:hAnsiTheme="minorHAnsi" w:cstheme="minorHAnsi"/>
                  <w:sz w:val="22"/>
                  <w:szCs w:val="22"/>
                </w:rPr>
                <w:t>spozefsky@themccgroup.com</w:t>
              </w:r>
            </w:hyperlink>
            <w:r w:rsidR="00976986" w:rsidRPr="00CB47FC">
              <w:rPr>
                <w:rFonts w:asciiTheme="minorHAnsi" w:hAnsiTheme="minorHAnsi" w:cstheme="minorHAnsi"/>
                <w:sz w:val="22"/>
                <w:szCs w:val="22"/>
              </w:rPr>
              <w:t xml:space="preserve"> </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1FC0" w:rsidRPr="00CB47FC" w:rsidRDefault="007D0765" w:rsidP="00976986">
            <w:pPr>
              <w:jc w:val="left"/>
              <w:rPr>
                <w:rFonts w:asciiTheme="minorHAnsi" w:hAnsiTheme="minorHAnsi" w:cstheme="minorHAnsi"/>
                <w:b/>
                <w:bCs/>
                <w:sz w:val="22"/>
                <w:szCs w:val="22"/>
              </w:rPr>
            </w:pPr>
            <w:r w:rsidRPr="00CB47FC">
              <w:rPr>
                <w:rFonts w:asciiTheme="minorHAnsi" w:hAnsiTheme="minorHAnsi" w:cstheme="minorHAnsi"/>
                <w:b/>
                <w:bCs/>
                <w:sz w:val="22"/>
                <w:szCs w:val="22"/>
              </w:rPr>
              <w:t>Mail</w:t>
            </w:r>
          </w:p>
          <w:p w:rsidR="00976986" w:rsidRPr="00CB47FC" w:rsidRDefault="00976986" w:rsidP="00976986">
            <w:pPr>
              <w:pStyle w:val="Heading3"/>
              <w:jc w:val="left"/>
              <w:rPr>
                <w:rFonts w:asciiTheme="minorHAnsi" w:hAnsiTheme="minorHAnsi" w:cstheme="minorHAnsi"/>
                <w:b w:val="0"/>
                <w:bCs w:val="0"/>
                <w:sz w:val="22"/>
                <w:szCs w:val="22"/>
              </w:rPr>
            </w:pPr>
            <w:r w:rsidRPr="00CB47FC">
              <w:rPr>
                <w:rFonts w:asciiTheme="minorHAnsi" w:hAnsiTheme="minorHAnsi" w:cstheme="minorHAnsi"/>
                <w:b w:val="0"/>
                <w:bCs w:val="0"/>
                <w:sz w:val="22"/>
                <w:szCs w:val="22"/>
              </w:rPr>
              <w:t>The McConnell Group</w:t>
            </w:r>
          </w:p>
          <w:p w:rsidR="00976986" w:rsidRPr="00CB47FC" w:rsidRDefault="00976986" w:rsidP="00976986">
            <w:pPr>
              <w:rPr>
                <w:rFonts w:asciiTheme="minorHAnsi" w:hAnsiTheme="minorHAnsi" w:cstheme="minorHAnsi"/>
                <w:sz w:val="22"/>
                <w:szCs w:val="22"/>
              </w:rPr>
            </w:pPr>
            <w:r w:rsidRPr="00CB47FC">
              <w:rPr>
                <w:rFonts w:asciiTheme="minorHAnsi" w:hAnsiTheme="minorHAnsi" w:cstheme="minorHAnsi"/>
                <w:sz w:val="22"/>
                <w:szCs w:val="22"/>
              </w:rPr>
              <w:t>Attn: Human Resources</w:t>
            </w:r>
          </w:p>
          <w:p w:rsidR="00976986" w:rsidRPr="00CB47FC" w:rsidRDefault="00976986" w:rsidP="00976986">
            <w:pPr>
              <w:pStyle w:val="Heading3"/>
              <w:jc w:val="left"/>
              <w:rPr>
                <w:rFonts w:asciiTheme="minorHAnsi" w:hAnsiTheme="minorHAnsi" w:cstheme="minorHAnsi"/>
                <w:b w:val="0"/>
                <w:bCs w:val="0"/>
                <w:sz w:val="22"/>
                <w:szCs w:val="22"/>
              </w:rPr>
            </w:pPr>
            <w:r w:rsidRPr="00CB47FC">
              <w:rPr>
                <w:rFonts w:asciiTheme="minorHAnsi" w:hAnsiTheme="minorHAnsi" w:cstheme="minorHAnsi"/>
                <w:b w:val="0"/>
                <w:bCs w:val="0"/>
                <w:sz w:val="22"/>
                <w:szCs w:val="22"/>
              </w:rPr>
              <w:t>1901 Research Blvd., Suite 502</w:t>
            </w:r>
          </w:p>
          <w:p w:rsidR="00976986" w:rsidRPr="00CB47FC" w:rsidRDefault="00976986" w:rsidP="00976986">
            <w:pPr>
              <w:jc w:val="left"/>
              <w:rPr>
                <w:rFonts w:asciiTheme="minorHAnsi" w:hAnsiTheme="minorHAnsi" w:cstheme="minorHAnsi"/>
                <w:b/>
                <w:bCs/>
                <w:sz w:val="22"/>
                <w:szCs w:val="22"/>
              </w:rPr>
            </w:pPr>
            <w:r w:rsidRPr="00CB47FC">
              <w:rPr>
                <w:rFonts w:asciiTheme="minorHAnsi" w:hAnsiTheme="minorHAnsi" w:cstheme="minorHAnsi"/>
                <w:sz w:val="22"/>
                <w:szCs w:val="22"/>
              </w:rPr>
              <w:t>Rockville, MD 20850</w:t>
            </w:r>
          </w:p>
        </w:tc>
      </w:tr>
      <w:tr w:rsidR="00EF1FC0" w:rsidRPr="00CB47FC" w:rsidTr="008625CE">
        <w:tblPrEx>
          <w:tblBorders>
            <w:top w:val="single" w:sz="6" w:space="0" w:color="auto"/>
            <w:left w:val="single" w:sz="6" w:space="0" w:color="auto"/>
            <w:bottom w:val="single" w:sz="6" w:space="0" w:color="auto"/>
            <w:right w:val="single" w:sz="6" w:space="0" w:color="auto"/>
          </w:tblBorders>
        </w:tblPrEx>
        <w:trPr>
          <w:trHeight w:val="413"/>
        </w:trPr>
        <w:tc>
          <w:tcPr>
            <w:tcW w:w="9375" w:type="dxa"/>
            <w:gridSpan w:val="5"/>
            <w:tcBorders>
              <w:top w:val="single" w:sz="4" w:space="0" w:color="auto"/>
              <w:left w:val="single" w:sz="4" w:space="0" w:color="auto"/>
              <w:bottom w:val="single" w:sz="4" w:space="0" w:color="auto"/>
              <w:right w:val="single" w:sz="4" w:space="0" w:color="auto"/>
            </w:tcBorders>
            <w:shd w:val="clear" w:color="auto" w:fill="15499F"/>
            <w:vAlign w:val="center"/>
          </w:tcPr>
          <w:p w:rsidR="00EF1FC0" w:rsidRPr="00CB47FC" w:rsidRDefault="00976986" w:rsidP="00A57907">
            <w:pPr>
              <w:pStyle w:val="Heading3"/>
              <w:jc w:val="left"/>
              <w:rPr>
                <w:rFonts w:ascii="Century Gothic" w:hAnsi="Century Gothic" w:cs="Times New Roman"/>
                <w:b w:val="0"/>
                <w:color w:val="FFFFFF"/>
                <w:sz w:val="22"/>
                <w:szCs w:val="22"/>
              </w:rPr>
            </w:pPr>
            <w:r w:rsidRPr="00CB47FC">
              <w:rPr>
                <w:rFonts w:ascii="Century Gothic" w:hAnsi="Century Gothic"/>
                <w:b w:val="0"/>
                <w:color w:val="FFFFFF"/>
                <w:sz w:val="22"/>
                <w:szCs w:val="22"/>
              </w:rPr>
              <w:t>Position Description</w:t>
            </w:r>
          </w:p>
        </w:tc>
      </w:tr>
      <w:tr w:rsidR="00B60716" w:rsidRPr="00CB47FC" w:rsidTr="004B2C90">
        <w:tc>
          <w:tcPr>
            <w:tcW w:w="93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0716" w:rsidRPr="00CB47FC" w:rsidRDefault="00B60716" w:rsidP="00B60716">
            <w:pPr>
              <w:rPr>
                <w:rFonts w:asciiTheme="minorHAnsi" w:hAnsiTheme="minorHAnsi" w:cstheme="minorHAnsi"/>
                <w:b/>
                <w:sz w:val="22"/>
                <w:szCs w:val="22"/>
              </w:rPr>
            </w:pPr>
            <w:r w:rsidRPr="00CB47FC">
              <w:rPr>
                <w:rFonts w:asciiTheme="minorHAnsi" w:hAnsiTheme="minorHAnsi" w:cstheme="minorHAnsi"/>
                <w:b/>
                <w:sz w:val="22"/>
                <w:szCs w:val="22"/>
              </w:rPr>
              <w:t>Job Purpose:</w:t>
            </w:r>
          </w:p>
          <w:tbl>
            <w:tblPr>
              <w:tblW w:w="0" w:type="auto"/>
              <w:tblBorders>
                <w:top w:val="nil"/>
                <w:left w:val="nil"/>
                <w:bottom w:val="nil"/>
                <w:right w:val="nil"/>
              </w:tblBorders>
              <w:tblLook w:val="0000" w:firstRow="0" w:lastRow="0" w:firstColumn="0" w:lastColumn="0" w:noHBand="0" w:noVBand="0"/>
            </w:tblPr>
            <w:tblGrid>
              <w:gridCol w:w="9159"/>
            </w:tblGrid>
            <w:tr w:rsidR="005C01DA">
              <w:tblPrEx>
                <w:tblCellMar>
                  <w:top w:w="0" w:type="dxa"/>
                  <w:bottom w:w="0" w:type="dxa"/>
                </w:tblCellMar>
              </w:tblPrEx>
              <w:trPr>
                <w:trHeight w:val="676"/>
              </w:trPr>
              <w:tc>
                <w:tcPr>
                  <w:tcW w:w="0" w:type="auto"/>
                </w:tcPr>
                <w:p w:rsidR="005C01DA" w:rsidRDefault="005C01DA">
                  <w:pPr>
                    <w:pStyle w:val="Default"/>
                    <w:jc w:val="both"/>
                    <w:rPr>
                      <w:sz w:val="22"/>
                      <w:szCs w:val="22"/>
                    </w:rPr>
                  </w:pPr>
                  <w:r>
                    <w:t xml:space="preserve"> </w:t>
                  </w:r>
                  <w:r>
                    <w:rPr>
                      <w:sz w:val="22"/>
                      <w:szCs w:val="22"/>
                    </w:rPr>
                    <w:t xml:space="preserve">This acquisition pertains to the Clinical Investigation Program (CIP), clinical research networks, and other research activities supporting the Navy and Marine Corps’ Graduate Medical Education (GME). It is for developing training simulation scenarios and diagnosing and utilizing pertinent software and simulation equipment in support of the Navy Medicine Education Training Command (NMETC) and other Navy Medicine Training sites. </w:t>
                  </w:r>
                </w:p>
              </w:tc>
            </w:tr>
          </w:tbl>
          <w:p w:rsidR="00E90CF5" w:rsidRPr="00CB47FC" w:rsidRDefault="00E90CF5" w:rsidP="00B60716">
            <w:pPr>
              <w:rPr>
                <w:rFonts w:asciiTheme="minorHAnsi" w:hAnsiTheme="minorHAnsi" w:cstheme="minorHAnsi"/>
                <w:sz w:val="22"/>
                <w:szCs w:val="22"/>
              </w:rPr>
            </w:pPr>
          </w:p>
          <w:p w:rsidR="001B4308" w:rsidRPr="00CB47FC" w:rsidRDefault="00B60716" w:rsidP="001B4308">
            <w:pPr>
              <w:rPr>
                <w:rFonts w:asciiTheme="minorHAnsi" w:hAnsiTheme="minorHAnsi" w:cstheme="minorHAnsi"/>
                <w:b/>
                <w:sz w:val="22"/>
                <w:szCs w:val="22"/>
              </w:rPr>
            </w:pPr>
            <w:r w:rsidRPr="00CB47FC">
              <w:rPr>
                <w:rFonts w:asciiTheme="minorHAnsi" w:hAnsiTheme="minorHAnsi" w:cstheme="minorHAnsi"/>
                <w:b/>
                <w:sz w:val="22"/>
                <w:szCs w:val="22"/>
              </w:rPr>
              <w:t>Duties:</w:t>
            </w:r>
          </w:p>
          <w:tbl>
            <w:tblPr>
              <w:tblW w:w="0" w:type="auto"/>
              <w:tblBorders>
                <w:top w:val="nil"/>
                <w:left w:val="nil"/>
                <w:bottom w:val="nil"/>
                <w:right w:val="nil"/>
              </w:tblBorders>
              <w:tblLook w:val="0000" w:firstRow="0" w:lastRow="0" w:firstColumn="0" w:lastColumn="0" w:noHBand="0" w:noVBand="0"/>
            </w:tblPr>
            <w:tblGrid>
              <w:gridCol w:w="9159"/>
            </w:tblGrid>
            <w:tr w:rsidR="005C01DA">
              <w:tblPrEx>
                <w:tblCellMar>
                  <w:top w:w="0" w:type="dxa"/>
                  <w:bottom w:w="0" w:type="dxa"/>
                </w:tblCellMar>
              </w:tblPrEx>
              <w:trPr>
                <w:trHeight w:val="2871"/>
              </w:trPr>
              <w:tc>
                <w:tcPr>
                  <w:tcW w:w="0" w:type="auto"/>
                </w:tcPr>
                <w:p w:rsidR="005C01DA" w:rsidRDefault="005C01DA" w:rsidP="005C01DA">
                  <w:pPr>
                    <w:pStyle w:val="Default"/>
                    <w:numPr>
                      <w:ilvl w:val="0"/>
                      <w:numId w:val="16"/>
                    </w:numPr>
                    <w:rPr>
                      <w:sz w:val="22"/>
                      <w:szCs w:val="22"/>
                    </w:rPr>
                  </w:pPr>
                  <w:r>
                    <w:rPr>
                      <w:sz w:val="22"/>
                      <w:szCs w:val="22"/>
                    </w:rPr>
                    <w:t xml:space="preserve">Serves as the technical liaison and complete designated tasks to ensure the successful operation of all technical aspects of the Simulation Center (SC) while maintaining the center at the highest possible readiness level. In addition, the contractor will be responsible for coordination of all Simulation training programs within the SC. Work consists of various duties that involve applying a series of different and unrelated processes and methods in responding to customer requests. </w:t>
                  </w:r>
                </w:p>
                <w:p w:rsidR="005C01DA" w:rsidRDefault="005C01DA" w:rsidP="005C01DA">
                  <w:pPr>
                    <w:pStyle w:val="Default"/>
                    <w:numPr>
                      <w:ilvl w:val="0"/>
                      <w:numId w:val="16"/>
                    </w:numPr>
                    <w:rPr>
                      <w:sz w:val="22"/>
                      <w:szCs w:val="22"/>
                    </w:rPr>
                  </w:pPr>
                  <w:r>
                    <w:rPr>
                      <w:sz w:val="22"/>
                      <w:szCs w:val="22"/>
                    </w:rPr>
                    <w:t xml:space="preserve">Completes assignments as set forth by the SC Manager based on analyses of the subject and issues related to the assignment and selects appropriate course of action from many acceptable alternatives. Exercises judgment to identify, determine the nature and potential sources of problems and select appropriate course of action in response to problems and customers’ needs for information and assistance. </w:t>
                  </w:r>
                </w:p>
                <w:p w:rsidR="005C01DA" w:rsidRDefault="005C01DA" w:rsidP="005C01DA">
                  <w:pPr>
                    <w:pStyle w:val="Default"/>
                    <w:numPr>
                      <w:ilvl w:val="0"/>
                      <w:numId w:val="16"/>
                    </w:numPr>
                    <w:rPr>
                      <w:sz w:val="22"/>
                      <w:szCs w:val="22"/>
                    </w:rPr>
                  </w:pPr>
                  <w:r>
                    <w:rPr>
                      <w:sz w:val="22"/>
                      <w:szCs w:val="22"/>
                    </w:rPr>
                    <w:t xml:space="preserve">Reports, responds to and resolves customer requests pertaining to the Navy Trauma Training Center (NTTC) Medical Simulation Center (SC) training, equipment, and scenarios. </w:t>
                  </w:r>
                </w:p>
                <w:p w:rsidR="005C01DA" w:rsidRDefault="005C01DA" w:rsidP="005C01DA">
                  <w:pPr>
                    <w:pStyle w:val="Default"/>
                    <w:numPr>
                      <w:ilvl w:val="0"/>
                      <w:numId w:val="16"/>
                    </w:numPr>
                    <w:rPr>
                      <w:sz w:val="22"/>
                      <w:szCs w:val="22"/>
                    </w:rPr>
                  </w:pPr>
                  <w:r>
                    <w:rPr>
                      <w:sz w:val="22"/>
                      <w:szCs w:val="22"/>
                    </w:rPr>
                    <w:t xml:space="preserve">Diagnoses and resolves problems with personnel data input, course assignments, and user errors by utilizing pertinent software and relevant simulation equipment software. </w:t>
                  </w:r>
                </w:p>
                <w:p w:rsidR="005C01DA" w:rsidRDefault="005C01DA" w:rsidP="005C01DA">
                  <w:pPr>
                    <w:pStyle w:val="Default"/>
                    <w:numPr>
                      <w:ilvl w:val="0"/>
                      <w:numId w:val="16"/>
                    </w:numPr>
                    <w:rPr>
                      <w:sz w:val="22"/>
                      <w:szCs w:val="22"/>
                    </w:rPr>
                  </w:pPr>
                  <w:r>
                    <w:rPr>
                      <w:sz w:val="22"/>
                      <w:szCs w:val="22"/>
                    </w:rPr>
                    <w:t xml:space="preserve">Upgrades and troubleshoots any software component complaints that may be received from the SC users via Equivalency Rating Forms or Course Critique Forms. </w:t>
                  </w:r>
                </w:p>
                <w:p w:rsidR="005C01DA" w:rsidRDefault="005C01DA" w:rsidP="005C01DA">
                  <w:pPr>
                    <w:pStyle w:val="Default"/>
                    <w:numPr>
                      <w:ilvl w:val="0"/>
                      <w:numId w:val="16"/>
                    </w:numPr>
                    <w:rPr>
                      <w:sz w:val="22"/>
                      <w:szCs w:val="22"/>
                    </w:rPr>
                  </w:pPr>
                  <w:r>
                    <w:rPr>
                      <w:sz w:val="22"/>
                      <w:szCs w:val="22"/>
                    </w:rPr>
                    <w:t xml:space="preserve">Serves as the subject matter expert for all audio and visual needs of the SC. </w:t>
                  </w:r>
                </w:p>
                <w:p w:rsidR="005C01DA" w:rsidRDefault="005C01DA" w:rsidP="005569C8">
                  <w:pPr>
                    <w:pStyle w:val="Default"/>
                    <w:numPr>
                      <w:ilvl w:val="0"/>
                      <w:numId w:val="17"/>
                    </w:numPr>
                    <w:rPr>
                      <w:sz w:val="22"/>
                      <w:szCs w:val="22"/>
                    </w:rPr>
                  </w:pPr>
                  <w:r>
                    <w:rPr>
                      <w:sz w:val="22"/>
                      <w:szCs w:val="22"/>
                    </w:rPr>
                    <w:t xml:space="preserve">Provides support to evaluate course content, initiates, recommends and implements modifications as necessary. </w:t>
                  </w:r>
                </w:p>
                <w:p w:rsidR="005C01DA" w:rsidRDefault="005C01DA" w:rsidP="005569C8">
                  <w:pPr>
                    <w:pStyle w:val="Default"/>
                    <w:rPr>
                      <w:sz w:val="22"/>
                      <w:szCs w:val="22"/>
                    </w:rPr>
                  </w:pPr>
                </w:p>
              </w:tc>
            </w:tr>
            <w:tr w:rsidR="005C01DA">
              <w:tblPrEx>
                <w:tblCellMar>
                  <w:top w:w="0" w:type="dxa"/>
                  <w:bottom w:w="0" w:type="dxa"/>
                </w:tblCellMar>
              </w:tblPrEx>
              <w:trPr>
                <w:trHeight w:val="2871"/>
              </w:trPr>
              <w:tc>
                <w:tcPr>
                  <w:tcW w:w="0" w:type="auto"/>
                </w:tcPr>
                <w:tbl>
                  <w:tblPr>
                    <w:tblW w:w="0" w:type="auto"/>
                    <w:tblBorders>
                      <w:top w:val="nil"/>
                      <w:left w:val="nil"/>
                      <w:bottom w:val="nil"/>
                      <w:right w:val="nil"/>
                    </w:tblBorders>
                    <w:tblLook w:val="0000" w:firstRow="0" w:lastRow="0" w:firstColumn="0" w:lastColumn="0" w:noHBand="0" w:noVBand="0"/>
                  </w:tblPr>
                  <w:tblGrid>
                    <w:gridCol w:w="222"/>
                  </w:tblGrid>
                  <w:tr w:rsidR="00CE745C">
                    <w:tblPrEx>
                      <w:tblCellMar>
                        <w:top w:w="0" w:type="dxa"/>
                        <w:bottom w:w="0" w:type="dxa"/>
                      </w:tblCellMar>
                    </w:tblPrEx>
                    <w:trPr>
                      <w:trHeight w:val="145"/>
                    </w:trPr>
                    <w:tc>
                      <w:tcPr>
                        <w:tcW w:w="0" w:type="auto"/>
                      </w:tcPr>
                      <w:p w:rsidR="00CE745C" w:rsidRDefault="00CE745C" w:rsidP="00CE745C">
                        <w:pPr>
                          <w:pStyle w:val="Default"/>
                          <w:rPr>
                            <w:sz w:val="22"/>
                            <w:szCs w:val="22"/>
                          </w:rPr>
                        </w:pPr>
                      </w:p>
                    </w:tc>
                  </w:tr>
                </w:tbl>
                <w:p w:rsidR="005569C8" w:rsidRDefault="00CE745C" w:rsidP="005569C8">
                  <w:pPr>
                    <w:pStyle w:val="Default"/>
                    <w:numPr>
                      <w:ilvl w:val="0"/>
                      <w:numId w:val="18"/>
                    </w:numPr>
                    <w:rPr>
                      <w:rFonts w:cs="Times New Roman"/>
                      <w:color w:val="auto"/>
                    </w:rPr>
                  </w:pPr>
                  <w:r>
                    <w:rPr>
                      <w:rFonts w:cs="Times New Roman"/>
                      <w:color w:val="auto"/>
                    </w:rPr>
                    <w:t>Plans and presents formal and informal user training in the effective utilization of the SC resources employing instructional techniques to communicate technical information and skills to students.</w:t>
                  </w:r>
                </w:p>
                <w:p w:rsidR="005569C8" w:rsidRDefault="005569C8" w:rsidP="005569C8">
                  <w:pPr>
                    <w:pStyle w:val="Default"/>
                    <w:numPr>
                      <w:ilvl w:val="0"/>
                      <w:numId w:val="18"/>
                    </w:numPr>
                    <w:rPr>
                      <w:sz w:val="22"/>
                      <w:szCs w:val="22"/>
                    </w:rPr>
                  </w:pPr>
                  <w:r>
                    <w:rPr>
                      <w:sz w:val="22"/>
                      <w:szCs w:val="22"/>
                    </w:rPr>
                    <w:t xml:space="preserve">Acts as an SC Customer Service Representative. </w:t>
                  </w:r>
                </w:p>
                <w:p w:rsidR="005569C8" w:rsidRDefault="005569C8" w:rsidP="005569C8">
                  <w:pPr>
                    <w:pStyle w:val="Default"/>
                    <w:numPr>
                      <w:ilvl w:val="0"/>
                      <w:numId w:val="18"/>
                    </w:numPr>
                    <w:rPr>
                      <w:sz w:val="22"/>
                      <w:szCs w:val="22"/>
                    </w:rPr>
                  </w:pPr>
                  <w:r>
                    <w:rPr>
                      <w:sz w:val="22"/>
                      <w:szCs w:val="22"/>
                    </w:rPr>
                    <w:t xml:space="preserve">Assists in the ordering of new equipment and supplies. As well as stocking, cleaning of equipment and the Simulation Center. </w:t>
                  </w:r>
                </w:p>
                <w:p w:rsidR="005569C8" w:rsidRDefault="005569C8" w:rsidP="005569C8">
                  <w:pPr>
                    <w:pStyle w:val="Default"/>
                    <w:numPr>
                      <w:ilvl w:val="0"/>
                      <w:numId w:val="18"/>
                    </w:numPr>
                    <w:rPr>
                      <w:sz w:val="22"/>
                      <w:szCs w:val="22"/>
                    </w:rPr>
                  </w:pPr>
                  <w:r>
                    <w:rPr>
                      <w:sz w:val="22"/>
                      <w:szCs w:val="22"/>
                    </w:rPr>
                    <w:t xml:space="preserve">Delivers simulation equipment to users when needed. </w:t>
                  </w:r>
                </w:p>
                <w:p w:rsidR="005569C8" w:rsidRDefault="005569C8" w:rsidP="005569C8">
                  <w:pPr>
                    <w:pStyle w:val="Default"/>
                    <w:numPr>
                      <w:ilvl w:val="0"/>
                      <w:numId w:val="18"/>
                    </w:numPr>
                    <w:rPr>
                      <w:sz w:val="22"/>
                      <w:szCs w:val="22"/>
                    </w:rPr>
                  </w:pPr>
                  <w:r>
                    <w:rPr>
                      <w:sz w:val="22"/>
                      <w:szCs w:val="22"/>
                    </w:rPr>
                    <w:t xml:space="preserve">Troubleshoots, repairs, and builds training scenarios using </w:t>
                  </w:r>
                  <w:proofErr w:type="spellStart"/>
                  <w:r>
                    <w:rPr>
                      <w:sz w:val="22"/>
                      <w:szCs w:val="22"/>
                    </w:rPr>
                    <w:t>Laerdal</w:t>
                  </w:r>
                  <w:proofErr w:type="spellEnd"/>
                  <w:r>
                    <w:rPr>
                      <w:sz w:val="22"/>
                      <w:szCs w:val="22"/>
                    </w:rPr>
                    <w:t xml:space="preserve"> and METI simulation software and equipment. </w:t>
                  </w:r>
                </w:p>
                <w:p w:rsidR="005569C8" w:rsidRDefault="005569C8" w:rsidP="005569C8">
                  <w:pPr>
                    <w:pStyle w:val="Default"/>
                    <w:numPr>
                      <w:ilvl w:val="0"/>
                      <w:numId w:val="18"/>
                    </w:numPr>
                    <w:rPr>
                      <w:sz w:val="22"/>
                      <w:szCs w:val="22"/>
                    </w:rPr>
                  </w:pPr>
                  <w:r>
                    <w:rPr>
                      <w:sz w:val="22"/>
                      <w:szCs w:val="22"/>
                    </w:rPr>
                    <w:t xml:space="preserve">Maintains relations with medical modeling and simulation companies’ Technical Support. </w:t>
                  </w:r>
                </w:p>
                <w:p w:rsidR="005569C8" w:rsidRDefault="005569C8" w:rsidP="005569C8">
                  <w:pPr>
                    <w:pStyle w:val="Default"/>
                    <w:numPr>
                      <w:ilvl w:val="0"/>
                      <w:numId w:val="18"/>
                    </w:numPr>
                    <w:rPr>
                      <w:sz w:val="22"/>
                      <w:szCs w:val="22"/>
                    </w:rPr>
                  </w:pPr>
                  <w:r>
                    <w:rPr>
                      <w:sz w:val="22"/>
                      <w:szCs w:val="22"/>
                    </w:rPr>
                    <w:t xml:space="preserve">Demonstrates and maintains broad knowledge of simulation related companies and equipment. </w:t>
                  </w:r>
                </w:p>
                <w:p w:rsidR="005569C8" w:rsidRDefault="005569C8" w:rsidP="005569C8">
                  <w:pPr>
                    <w:pStyle w:val="Default"/>
                    <w:numPr>
                      <w:ilvl w:val="0"/>
                      <w:numId w:val="18"/>
                    </w:numPr>
                    <w:rPr>
                      <w:sz w:val="22"/>
                      <w:szCs w:val="22"/>
                    </w:rPr>
                  </w:pPr>
                  <w:r>
                    <w:rPr>
                      <w:sz w:val="22"/>
                      <w:szCs w:val="22"/>
                    </w:rPr>
                    <w:t xml:space="preserve">Demonstrates and maintain advanced knowledge of the </w:t>
                  </w:r>
                  <w:proofErr w:type="spellStart"/>
                  <w:r>
                    <w:rPr>
                      <w:sz w:val="22"/>
                      <w:szCs w:val="22"/>
                    </w:rPr>
                    <w:t>Simbionix</w:t>
                  </w:r>
                  <w:proofErr w:type="spellEnd"/>
                  <w:r>
                    <w:rPr>
                      <w:sz w:val="22"/>
                      <w:szCs w:val="22"/>
                    </w:rPr>
                    <w:t xml:space="preserve"> </w:t>
                  </w:r>
                  <w:proofErr w:type="spellStart"/>
                  <w:r>
                    <w:rPr>
                      <w:sz w:val="22"/>
                      <w:szCs w:val="22"/>
                    </w:rPr>
                    <w:t>LapMentor</w:t>
                  </w:r>
                  <w:proofErr w:type="spellEnd"/>
                  <w:r>
                    <w:rPr>
                      <w:sz w:val="22"/>
                      <w:szCs w:val="22"/>
                    </w:rPr>
                    <w:t xml:space="preserve"> 3D trainer. </w:t>
                  </w:r>
                </w:p>
                <w:p w:rsidR="005569C8" w:rsidRDefault="005569C8" w:rsidP="005569C8">
                  <w:pPr>
                    <w:pStyle w:val="Default"/>
                    <w:numPr>
                      <w:ilvl w:val="0"/>
                      <w:numId w:val="18"/>
                    </w:numPr>
                    <w:rPr>
                      <w:sz w:val="22"/>
                      <w:szCs w:val="22"/>
                    </w:rPr>
                  </w:pPr>
                  <w:r>
                    <w:rPr>
                      <w:sz w:val="22"/>
                      <w:szCs w:val="22"/>
                    </w:rPr>
                    <w:t xml:space="preserve">Demonstrates and maintains knowledge of </w:t>
                  </w:r>
                  <w:proofErr w:type="spellStart"/>
                  <w:r>
                    <w:rPr>
                      <w:sz w:val="22"/>
                      <w:szCs w:val="22"/>
                    </w:rPr>
                    <w:t>Pelco</w:t>
                  </w:r>
                  <w:proofErr w:type="spellEnd"/>
                  <w:r>
                    <w:rPr>
                      <w:sz w:val="22"/>
                      <w:szCs w:val="22"/>
                    </w:rPr>
                    <w:t xml:space="preserve"> related surveillance cameras and DX8000/DX8001 computer software. </w:t>
                  </w:r>
                </w:p>
                <w:p w:rsidR="005569C8" w:rsidRDefault="005569C8" w:rsidP="005569C8">
                  <w:pPr>
                    <w:pStyle w:val="Default"/>
                    <w:numPr>
                      <w:ilvl w:val="0"/>
                      <w:numId w:val="18"/>
                    </w:numPr>
                    <w:rPr>
                      <w:sz w:val="22"/>
                      <w:szCs w:val="22"/>
                    </w:rPr>
                  </w:pPr>
                  <w:r>
                    <w:rPr>
                      <w:sz w:val="22"/>
                      <w:szCs w:val="22"/>
                    </w:rPr>
                    <w:t xml:space="preserve">Demonstrates and maintains advanced knowledge of Immersion Medical Endoscopy Simulator. </w:t>
                  </w:r>
                </w:p>
                <w:p w:rsidR="005C01DA" w:rsidRDefault="005C01DA">
                  <w:pPr>
                    <w:pStyle w:val="Default"/>
                    <w:rPr>
                      <w:sz w:val="22"/>
                      <w:szCs w:val="22"/>
                    </w:rPr>
                  </w:pPr>
                </w:p>
              </w:tc>
            </w:tr>
          </w:tbl>
          <w:p w:rsidR="00B60716" w:rsidRPr="00CB47FC" w:rsidRDefault="00B60716" w:rsidP="00B60716">
            <w:pPr>
              <w:rPr>
                <w:rFonts w:asciiTheme="minorHAnsi" w:hAnsiTheme="minorHAnsi" w:cstheme="minorHAnsi"/>
                <w:b/>
                <w:sz w:val="22"/>
                <w:szCs w:val="22"/>
              </w:rPr>
            </w:pPr>
            <w:r w:rsidRPr="00CB47FC">
              <w:rPr>
                <w:rFonts w:asciiTheme="minorHAnsi" w:hAnsiTheme="minorHAnsi" w:cstheme="minorHAnsi"/>
                <w:b/>
                <w:sz w:val="22"/>
                <w:szCs w:val="22"/>
              </w:rPr>
              <w:t>Knowledge, Skills and Abilities Required:</w:t>
            </w:r>
          </w:p>
          <w:p w:rsidR="00CE745C" w:rsidRDefault="00CE745C" w:rsidP="00CE745C">
            <w:pPr>
              <w:pStyle w:val="Default"/>
              <w:numPr>
                <w:ilvl w:val="0"/>
                <w:numId w:val="20"/>
              </w:numPr>
              <w:jc w:val="both"/>
              <w:rPr>
                <w:sz w:val="22"/>
                <w:szCs w:val="22"/>
              </w:rPr>
            </w:pPr>
            <w:r>
              <w:rPr>
                <w:sz w:val="22"/>
                <w:szCs w:val="22"/>
              </w:rPr>
              <w:t xml:space="preserve">Minimum 3 years of experience as a systems administrative specialist or any computer related specialty and have prior working knowledge of the following Microsoft Office based programs (i.e. Excel, PowerPoint, Word, and Outlook). </w:t>
            </w:r>
          </w:p>
          <w:p w:rsidR="00CE745C" w:rsidRDefault="00CE745C" w:rsidP="00CE745C">
            <w:pPr>
              <w:pStyle w:val="Default"/>
              <w:numPr>
                <w:ilvl w:val="0"/>
                <w:numId w:val="20"/>
              </w:numPr>
              <w:jc w:val="both"/>
              <w:rPr>
                <w:sz w:val="22"/>
                <w:szCs w:val="22"/>
              </w:rPr>
            </w:pPr>
            <w:r>
              <w:rPr>
                <w:sz w:val="22"/>
                <w:szCs w:val="22"/>
              </w:rPr>
              <w:t xml:space="preserve">Knowledge of and skills in applying customer service and customer support principles and methods to advise, guide and consult throughout the organization on matters pertaining to technical information for the SC and its equipment. </w:t>
            </w:r>
          </w:p>
          <w:p w:rsidR="00CE745C" w:rsidRDefault="00CE745C" w:rsidP="00CE745C">
            <w:pPr>
              <w:pStyle w:val="Default"/>
              <w:numPr>
                <w:ilvl w:val="0"/>
                <w:numId w:val="20"/>
              </w:numPr>
              <w:jc w:val="both"/>
              <w:rPr>
                <w:sz w:val="22"/>
                <w:szCs w:val="22"/>
              </w:rPr>
            </w:pPr>
            <w:r>
              <w:rPr>
                <w:sz w:val="22"/>
                <w:szCs w:val="22"/>
              </w:rPr>
              <w:t xml:space="preserve">Vast knowledge of adult &amp; pediatric simulators, hardware, and software to include systems administration methods and procedures, IT security principles, troubleshooting methods, and equipment. </w:t>
            </w:r>
          </w:p>
          <w:p w:rsidR="00CE745C" w:rsidRDefault="00CE745C" w:rsidP="00CE745C">
            <w:pPr>
              <w:pStyle w:val="Default"/>
              <w:numPr>
                <w:ilvl w:val="0"/>
                <w:numId w:val="20"/>
              </w:numPr>
              <w:jc w:val="both"/>
              <w:rPr>
                <w:sz w:val="22"/>
                <w:szCs w:val="22"/>
              </w:rPr>
            </w:pPr>
            <w:r>
              <w:rPr>
                <w:sz w:val="22"/>
                <w:szCs w:val="22"/>
              </w:rPr>
              <w:t xml:space="preserve">Knowledge of training methodologies and educational strategies to create training materials consistent with the SC and data retrieval to command personnel, NTTC Staff, and simulation center management. </w:t>
            </w:r>
          </w:p>
          <w:p w:rsidR="00CE745C" w:rsidRDefault="00CE745C" w:rsidP="00CE745C">
            <w:pPr>
              <w:pStyle w:val="Default"/>
              <w:numPr>
                <w:ilvl w:val="0"/>
                <w:numId w:val="20"/>
              </w:numPr>
              <w:jc w:val="both"/>
              <w:rPr>
                <w:sz w:val="22"/>
                <w:szCs w:val="22"/>
              </w:rPr>
            </w:pPr>
            <w:r>
              <w:rPr>
                <w:sz w:val="22"/>
                <w:szCs w:val="22"/>
              </w:rPr>
              <w:t xml:space="preserve">Skills in planning and delivery processes for training techniques. </w:t>
            </w:r>
          </w:p>
          <w:p w:rsidR="00CE745C" w:rsidRDefault="00CE745C" w:rsidP="00CE745C">
            <w:pPr>
              <w:pStyle w:val="Default"/>
              <w:numPr>
                <w:ilvl w:val="0"/>
                <w:numId w:val="20"/>
              </w:numPr>
              <w:jc w:val="both"/>
              <w:rPr>
                <w:sz w:val="22"/>
                <w:szCs w:val="22"/>
              </w:rPr>
            </w:pPr>
            <w:r>
              <w:rPr>
                <w:sz w:val="22"/>
                <w:szCs w:val="22"/>
              </w:rPr>
              <w:t xml:space="preserve">Knowledge of and skills in applying oral and written communication techniques. </w:t>
            </w:r>
          </w:p>
          <w:p w:rsidR="00CE745C" w:rsidRDefault="00CE745C" w:rsidP="00CE745C">
            <w:pPr>
              <w:pStyle w:val="Default"/>
              <w:numPr>
                <w:ilvl w:val="0"/>
                <w:numId w:val="20"/>
              </w:numPr>
              <w:jc w:val="both"/>
              <w:rPr>
                <w:sz w:val="22"/>
                <w:szCs w:val="22"/>
              </w:rPr>
            </w:pPr>
            <w:r>
              <w:rPr>
                <w:sz w:val="22"/>
                <w:szCs w:val="22"/>
              </w:rPr>
              <w:t xml:space="preserve">Knowledge of and skills in project management principles and methods. </w:t>
            </w:r>
          </w:p>
          <w:p w:rsidR="00CE745C" w:rsidRDefault="00CE745C" w:rsidP="00CE745C">
            <w:pPr>
              <w:pStyle w:val="Default"/>
              <w:numPr>
                <w:ilvl w:val="0"/>
                <w:numId w:val="20"/>
              </w:numPr>
              <w:jc w:val="both"/>
              <w:rPr>
                <w:sz w:val="22"/>
                <w:szCs w:val="22"/>
              </w:rPr>
            </w:pPr>
            <w:r>
              <w:rPr>
                <w:sz w:val="22"/>
                <w:szCs w:val="22"/>
              </w:rPr>
              <w:t xml:space="preserve">Skills in making presentation to large groups in the absence of an SC Manager and SC Technical Advisor. </w:t>
            </w:r>
          </w:p>
          <w:p w:rsidR="00CE745C" w:rsidRDefault="00CE745C" w:rsidP="00CE745C">
            <w:pPr>
              <w:pStyle w:val="Default"/>
              <w:numPr>
                <w:ilvl w:val="0"/>
                <w:numId w:val="20"/>
              </w:numPr>
              <w:jc w:val="both"/>
              <w:rPr>
                <w:sz w:val="22"/>
                <w:szCs w:val="22"/>
              </w:rPr>
            </w:pPr>
            <w:r>
              <w:rPr>
                <w:sz w:val="22"/>
                <w:szCs w:val="22"/>
              </w:rPr>
              <w:t xml:space="preserve">Working knowledge of the organizational functions and training requirements of Naval Medical Treatment Facilities. </w:t>
            </w:r>
          </w:p>
          <w:p w:rsidR="00CE745C" w:rsidRDefault="00CE745C" w:rsidP="00CE745C">
            <w:pPr>
              <w:pStyle w:val="Default"/>
              <w:numPr>
                <w:ilvl w:val="0"/>
                <w:numId w:val="20"/>
              </w:numPr>
              <w:jc w:val="both"/>
              <w:rPr>
                <w:sz w:val="22"/>
                <w:szCs w:val="22"/>
              </w:rPr>
            </w:pPr>
            <w:r>
              <w:rPr>
                <w:sz w:val="22"/>
                <w:szCs w:val="22"/>
              </w:rPr>
              <w:t xml:space="preserve">Basic A+ computer troubleshooting knowledge </w:t>
            </w:r>
          </w:p>
          <w:p w:rsidR="00CE745C" w:rsidRDefault="00CE745C" w:rsidP="00CE745C">
            <w:pPr>
              <w:pStyle w:val="Default"/>
              <w:numPr>
                <w:ilvl w:val="0"/>
                <w:numId w:val="20"/>
              </w:numPr>
              <w:jc w:val="both"/>
              <w:rPr>
                <w:sz w:val="22"/>
                <w:szCs w:val="22"/>
              </w:rPr>
            </w:pPr>
            <w:r>
              <w:rPr>
                <w:sz w:val="22"/>
                <w:szCs w:val="22"/>
              </w:rPr>
              <w:t xml:space="preserve">Computer troubleshooting, repair, and building experience </w:t>
            </w:r>
          </w:p>
          <w:p w:rsidR="00CE745C" w:rsidRDefault="00CE745C" w:rsidP="00CE745C">
            <w:pPr>
              <w:pStyle w:val="Default"/>
              <w:numPr>
                <w:ilvl w:val="0"/>
                <w:numId w:val="20"/>
              </w:numPr>
              <w:jc w:val="both"/>
              <w:rPr>
                <w:sz w:val="22"/>
                <w:szCs w:val="22"/>
              </w:rPr>
            </w:pPr>
            <w:r>
              <w:rPr>
                <w:sz w:val="22"/>
                <w:szCs w:val="22"/>
              </w:rPr>
              <w:t xml:space="preserve">Audio Visual troubleshooting skills to include recognizing signal loss, distortion and different aspects of frequency and equipment used </w:t>
            </w:r>
          </w:p>
          <w:p w:rsidR="00CE745C" w:rsidRDefault="00CE745C" w:rsidP="00CE745C">
            <w:pPr>
              <w:pStyle w:val="Default"/>
              <w:numPr>
                <w:ilvl w:val="0"/>
                <w:numId w:val="20"/>
              </w:numPr>
              <w:jc w:val="both"/>
              <w:rPr>
                <w:sz w:val="22"/>
                <w:szCs w:val="22"/>
              </w:rPr>
            </w:pPr>
            <w:r>
              <w:rPr>
                <w:sz w:val="22"/>
                <w:szCs w:val="22"/>
              </w:rPr>
              <w:t xml:space="preserve">Periods of prolonged standing, crawling, and wire splicing may be needed. Must be able to lift/move 100‐150 lbs. </w:t>
            </w:r>
          </w:p>
          <w:p w:rsidR="00B60716" w:rsidRPr="00CB47FC" w:rsidRDefault="00B60716" w:rsidP="00B60716">
            <w:pPr>
              <w:rPr>
                <w:rFonts w:asciiTheme="minorHAnsi" w:hAnsiTheme="minorHAnsi" w:cstheme="minorHAnsi"/>
                <w:sz w:val="22"/>
                <w:szCs w:val="22"/>
              </w:rPr>
            </w:pPr>
          </w:p>
          <w:p w:rsidR="00276B72" w:rsidRDefault="00276B72" w:rsidP="00276B72">
            <w:pPr>
              <w:pStyle w:val="Default"/>
              <w:jc w:val="both"/>
              <w:rPr>
                <w:rFonts w:cs="Times New Roman"/>
                <w:color w:val="auto"/>
              </w:rPr>
            </w:pPr>
          </w:p>
          <w:p w:rsidR="00276B72" w:rsidRDefault="00276B72" w:rsidP="00276B72">
            <w:pPr>
              <w:pStyle w:val="Default"/>
              <w:jc w:val="both"/>
              <w:rPr>
                <w:sz w:val="22"/>
                <w:szCs w:val="22"/>
              </w:rPr>
            </w:pPr>
            <w:r>
              <w:rPr>
                <w:b/>
                <w:bCs/>
                <w:sz w:val="22"/>
                <w:szCs w:val="22"/>
              </w:rPr>
              <w:t xml:space="preserve">Experience/Knowledge Preferred, but not Required: </w:t>
            </w:r>
          </w:p>
          <w:p w:rsidR="00276B72" w:rsidRDefault="00276B72" w:rsidP="00276B72">
            <w:pPr>
              <w:pStyle w:val="Default"/>
              <w:jc w:val="both"/>
              <w:rPr>
                <w:sz w:val="22"/>
                <w:szCs w:val="22"/>
              </w:rPr>
            </w:pPr>
          </w:p>
          <w:p w:rsidR="00E90CF5" w:rsidRPr="00276B72" w:rsidRDefault="00276B72" w:rsidP="00276B72">
            <w:pPr>
              <w:pStyle w:val="ListParagraph"/>
              <w:numPr>
                <w:ilvl w:val="0"/>
                <w:numId w:val="22"/>
              </w:numPr>
              <w:rPr>
                <w:rFonts w:asciiTheme="minorHAnsi" w:hAnsiTheme="minorHAnsi" w:cstheme="minorHAnsi"/>
                <w:sz w:val="22"/>
                <w:szCs w:val="22"/>
              </w:rPr>
            </w:pPr>
            <w:r w:rsidRPr="00276B72">
              <w:rPr>
                <w:rFonts w:asciiTheme="minorHAnsi" w:hAnsiTheme="minorHAnsi" w:cstheme="minorHAnsi"/>
                <w:sz w:val="22"/>
                <w:szCs w:val="22"/>
              </w:rPr>
              <w:t>1-2 years of experience as any technical course instructor/teacher.</w:t>
            </w:r>
          </w:p>
          <w:p w:rsidR="00276B72" w:rsidRPr="00276B72" w:rsidRDefault="00276B72" w:rsidP="00276B72">
            <w:pPr>
              <w:pStyle w:val="ListParagraph"/>
              <w:numPr>
                <w:ilvl w:val="0"/>
                <w:numId w:val="22"/>
              </w:numPr>
              <w:rPr>
                <w:rFonts w:asciiTheme="minorHAnsi" w:hAnsiTheme="minorHAnsi" w:cstheme="minorHAnsi"/>
                <w:sz w:val="22"/>
                <w:szCs w:val="22"/>
              </w:rPr>
            </w:pPr>
            <w:r w:rsidRPr="00276B72">
              <w:rPr>
                <w:rFonts w:asciiTheme="minorHAnsi" w:hAnsiTheme="minorHAnsi" w:cstheme="minorHAnsi"/>
                <w:sz w:val="22"/>
                <w:szCs w:val="22"/>
              </w:rPr>
              <w:t>Experience/exposure to medical operational training requirements.</w:t>
            </w:r>
          </w:p>
          <w:p w:rsidR="00276B72" w:rsidRPr="00276B72" w:rsidRDefault="00276B72" w:rsidP="00276B72">
            <w:pPr>
              <w:pStyle w:val="ListParagraph"/>
              <w:numPr>
                <w:ilvl w:val="0"/>
                <w:numId w:val="22"/>
              </w:numPr>
              <w:rPr>
                <w:rFonts w:asciiTheme="minorHAnsi" w:hAnsiTheme="minorHAnsi" w:cstheme="minorHAnsi"/>
                <w:sz w:val="22"/>
                <w:szCs w:val="22"/>
              </w:rPr>
            </w:pPr>
            <w:r w:rsidRPr="00276B72">
              <w:rPr>
                <w:rFonts w:asciiTheme="minorHAnsi" w:hAnsiTheme="minorHAnsi" w:cstheme="minorHAnsi"/>
                <w:sz w:val="22"/>
                <w:szCs w:val="22"/>
              </w:rPr>
              <w:t>Good working knowledge of 3D virtual simulators</w:t>
            </w:r>
          </w:p>
          <w:p w:rsidR="00276B72" w:rsidRPr="00276B72" w:rsidRDefault="00276B72" w:rsidP="00276B72">
            <w:pPr>
              <w:pStyle w:val="ListParagraph"/>
              <w:numPr>
                <w:ilvl w:val="0"/>
                <w:numId w:val="22"/>
              </w:numPr>
              <w:rPr>
                <w:rFonts w:asciiTheme="minorHAnsi" w:hAnsiTheme="minorHAnsi" w:cstheme="minorHAnsi"/>
                <w:sz w:val="22"/>
                <w:szCs w:val="22"/>
              </w:rPr>
            </w:pPr>
            <w:r w:rsidRPr="00276B72">
              <w:rPr>
                <w:rFonts w:asciiTheme="minorHAnsi" w:hAnsiTheme="minorHAnsi" w:cstheme="minorHAnsi"/>
                <w:sz w:val="22"/>
                <w:szCs w:val="22"/>
              </w:rPr>
              <w:t>Civilian or military formal medical training (i.e. US Navy Corpsman, Civilian Emergency Medical Technician (EMT), Nurse, etc.).</w:t>
            </w:r>
          </w:p>
          <w:p w:rsidR="005C01DA" w:rsidRDefault="005C01DA" w:rsidP="00B60716">
            <w:pPr>
              <w:rPr>
                <w:rFonts w:asciiTheme="minorHAnsi" w:hAnsiTheme="minorHAnsi" w:cstheme="minorHAnsi"/>
                <w:b/>
                <w:sz w:val="22"/>
                <w:szCs w:val="22"/>
              </w:rPr>
            </w:pPr>
          </w:p>
          <w:p w:rsidR="00B60716" w:rsidRPr="00CB47FC" w:rsidRDefault="00B60716" w:rsidP="00B60716">
            <w:pPr>
              <w:rPr>
                <w:rFonts w:asciiTheme="minorHAnsi" w:hAnsiTheme="minorHAnsi" w:cstheme="minorHAnsi"/>
                <w:b/>
                <w:sz w:val="22"/>
                <w:szCs w:val="22"/>
              </w:rPr>
            </w:pPr>
            <w:r w:rsidRPr="00CB47FC">
              <w:rPr>
                <w:rFonts w:asciiTheme="minorHAnsi" w:hAnsiTheme="minorHAnsi" w:cstheme="minorHAnsi"/>
                <w:b/>
                <w:sz w:val="22"/>
                <w:szCs w:val="22"/>
              </w:rPr>
              <w:t>Compensation/Benefits:</w:t>
            </w:r>
            <w:bookmarkStart w:id="0" w:name="_GoBack"/>
            <w:bookmarkEnd w:id="0"/>
          </w:p>
          <w:p w:rsidR="008C75EC" w:rsidRDefault="00B60716" w:rsidP="00B60716">
            <w:pPr>
              <w:rPr>
                <w:rFonts w:asciiTheme="minorHAnsi" w:hAnsiTheme="minorHAnsi" w:cstheme="minorHAnsi"/>
                <w:sz w:val="22"/>
                <w:szCs w:val="22"/>
              </w:rPr>
            </w:pPr>
            <w:r w:rsidRPr="00CB47FC">
              <w:rPr>
                <w:rFonts w:asciiTheme="minorHAnsi" w:hAnsiTheme="minorHAnsi" w:cstheme="minorHAnsi"/>
                <w:sz w:val="22"/>
                <w:szCs w:val="22"/>
              </w:rPr>
              <w:t>TMG offers competitive pay and benefits packages including health insurance; paid holiday, vacation, and PTO; EAP; 401(k) and College Savings Plan.</w:t>
            </w:r>
          </w:p>
          <w:p w:rsidR="005C01DA" w:rsidRDefault="005C01DA" w:rsidP="00B60716">
            <w:pPr>
              <w:rPr>
                <w:rFonts w:asciiTheme="minorHAnsi" w:hAnsiTheme="minorHAnsi" w:cstheme="minorHAnsi"/>
                <w:sz w:val="22"/>
                <w:szCs w:val="22"/>
              </w:rPr>
            </w:pPr>
          </w:p>
          <w:p w:rsidR="005C01DA" w:rsidRPr="005C01DA" w:rsidRDefault="005C01DA" w:rsidP="005C01DA">
            <w:pPr>
              <w:rPr>
                <w:rFonts w:asciiTheme="minorHAnsi" w:hAnsiTheme="minorHAnsi" w:cstheme="minorHAnsi"/>
                <w:b/>
                <w:sz w:val="22"/>
                <w:szCs w:val="22"/>
              </w:rPr>
            </w:pPr>
            <w:r w:rsidRPr="005C01DA">
              <w:rPr>
                <w:rFonts w:asciiTheme="minorHAnsi" w:hAnsiTheme="minorHAnsi"/>
                <w:sz w:val="22"/>
                <w:szCs w:val="22"/>
                <w:lang w:val="en"/>
              </w:rPr>
              <w:t>The McConnell Group (TMG) is an Equal Opportunity and Affirmative Action Employer that does not discriminate on the basis of race, color, creed, religion, sex, age, marital status, national origin, or status as a veteran, qualified individual with a disability, or any other basis prohibited by applicable laws.</w:t>
            </w:r>
          </w:p>
          <w:p w:rsidR="005C01DA" w:rsidRPr="00CB47FC" w:rsidRDefault="005C01DA" w:rsidP="00B60716">
            <w:pPr>
              <w:rPr>
                <w:rFonts w:asciiTheme="minorHAnsi" w:hAnsiTheme="minorHAnsi" w:cstheme="minorHAnsi"/>
                <w:sz w:val="22"/>
                <w:szCs w:val="22"/>
              </w:rPr>
            </w:pPr>
          </w:p>
        </w:tc>
      </w:tr>
    </w:tbl>
    <w:p w:rsidR="00EF1FC0" w:rsidRPr="00897ABA" w:rsidRDefault="00EF1FC0" w:rsidP="00B60716">
      <w:pPr>
        <w:rPr>
          <w:rFonts w:cs="Times New Roman"/>
        </w:rPr>
      </w:pPr>
    </w:p>
    <w:sectPr w:rsidR="00EF1FC0" w:rsidRPr="00897ABA" w:rsidSect="007D0765">
      <w:headerReference w:type="default" r:id="rId10"/>
      <w:footerReference w:type="default" r:id="rId11"/>
      <w:type w:val="nextColumn"/>
      <w:pgSz w:w="11909" w:h="16834" w:code="9"/>
      <w:pgMar w:top="1440" w:right="1440" w:bottom="1440" w:left="1440" w:header="360"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E7" w:rsidRDefault="00592AE7">
      <w:pPr>
        <w:rPr>
          <w:rFonts w:cs="Times New Roman"/>
        </w:rPr>
      </w:pPr>
      <w:r>
        <w:rPr>
          <w:rFonts w:cs="Times New Roman"/>
        </w:rPr>
        <w:separator/>
      </w:r>
    </w:p>
  </w:endnote>
  <w:endnote w:type="continuationSeparator" w:id="0">
    <w:p w:rsidR="00592AE7" w:rsidRDefault="00592A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C0" w:rsidRDefault="00EF1FC0" w:rsidP="007237D0">
    <w:pPr>
      <w:jc w:val="right"/>
      <w:rPr>
        <w:rFonts w:cs="Times New Roman"/>
        <w:sz w:val="16"/>
        <w:szCs w:val="16"/>
      </w:rPr>
    </w:pPr>
  </w:p>
  <w:p w:rsidR="00EF1FC0" w:rsidRPr="00963EF3" w:rsidRDefault="008C75EC" w:rsidP="00573BA5">
    <w:pPr>
      <w:pStyle w:val="Footer"/>
      <w:pBdr>
        <w:top w:val="single" w:sz="4" w:space="1" w:color="auto"/>
      </w:pBdr>
      <w:tabs>
        <w:tab w:val="clear" w:pos="4320"/>
        <w:tab w:val="clear" w:pos="8640"/>
        <w:tab w:val="center" w:pos="4680"/>
        <w:tab w:val="right" w:pos="9000"/>
      </w:tabs>
      <w:jc w:val="center"/>
      <w:rPr>
        <w:rStyle w:val="PageNumber"/>
        <w:rFonts w:ascii="Century Gothic" w:hAnsi="Century Gothic" w:cs="Tahoma"/>
        <w:szCs w:val="16"/>
      </w:rPr>
    </w:pPr>
    <w:r w:rsidRPr="00963EF3">
      <w:rPr>
        <w:rFonts w:ascii="Century Gothic" w:hAnsi="Century Gothic" w:cs="Tahoma"/>
        <w:szCs w:val="16"/>
      </w:rPr>
      <w:t>The McConnell Group is an equal opportunity employer – EOE M/F/D/V</w:t>
    </w:r>
  </w:p>
  <w:p w:rsidR="00EF1FC0" w:rsidRDefault="00EF1FC0"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E7" w:rsidRDefault="00592AE7">
      <w:pPr>
        <w:rPr>
          <w:rFonts w:cs="Times New Roman"/>
        </w:rPr>
      </w:pPr>
      <w:r>
        <w:rPr>
          <w:rFonts w:cs="Times New Roman"/>
        </w:rPr>
        <w:separator/>
      </w:r>
    </w:p>
  </w:footnote>
  <w:footnote w:type="continuationSeparator" w:id="0">
    <w:p w:rsidR="00592AE7" w:rsidRDefault="00592AE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90"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7D0765" w:rsidTr="007D0765">
      <w:trPr>
        <w:trHeight w:val="1098"/>
      </w:trPr>
      <w:tc>
        <w:tcPr>
          <w:tcW w:w="9390" w:type="dxa"/>
          <w:vAlign w:val="center"/>
        </w:tcPr>
        <w:p w:rsidR="007D0765" w:rsidRDefault="00B60716" w:rsidP="007D0765">
          <w:pPr>
            <w:pStyle w:val="Header"/>
            <w:tabs>
              <w:tab w:val="clear" w:pos="4320"/>
              <w:tab w:val="clear" w:pos="8640"/>
              <w:tab w:val="center" w:pos="4680"/>
              <w:tab w:val="right" w:pos="9360"/>
            </w:tabs>
            <w:spacing w:after="240"/>
            <w:jc w:val="center"/>
            <w:rPr>
              <w:rFonts w:ascii="Tahoma" w:hAnsi="Tahoma" w:cs="Tahoma"/>
              <w:b/>
              <w:bCs/>
              <w:sz w:val="28"/>
              <w:szCs w:val="28"/>
            </w:rPr>
          </w:pPr>
          <w:r>
            <w:rPr>
              <w:rFonts w:ascii="Tahoma" w:hAnsi="Tahoma" w:cs="Tahoma"/>
              <w:b/>
              <w:bCs/>
              <w:noProof/>
              <w:sz w:val="28"/>
              <w:szCs w:val="28"/>
            </w:rPr>
            <w:drawing>
              <wp:inline distT="0" distB="0" distL="0" distR="0">
                <wp:extent cx="1847850" cy="914400"/>
                <wp:effectExtent l="0" t="0" r="0" b="0"/>
                <wp:docPr id="35" name="Picture 35" descr="C:\Users\afacius\Pictures\Marketing\TMG logo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facius\Pictures\Marketing\TMG logo_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inline>
            </w:drawing>
          </w:r>
        </w:p>
      </w:tc>
    </w:tr>
  </w:tbl>
  <w:p w:rsidR="00EF1FC0" w:rsidRDefault="00EF1FC0">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774"/>
    <w:multiLevelType w:val="hybridMultilevel"/>
    <w:tmpl w:val="DE5A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0DB80DFC"/>
    <w:multiLevelType w:val="hybridMultilevel"/>
    <w:tmpl w:val="CEC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6640A"/>
    <w:multiLevelType w:val="hybridMultilevel"/>
    <w:tmpl w:val="BB86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5963DCE"/>
    <w:multiLevelType w:val="hybridMultilevel"/>
    <w:tmpl w:val="A1E67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40FD9"/>
    <w:multiLevelType w:val="hybridMultilevel"/>
    <w:tmpl w:val="34B0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DB377F5"/>
    <w:multiLevelType w:val="hybridMultilevel"/>
    <w:tmpl w:val="6502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3486E"/>
    <w:multiLevelType w:val="hybridMultilevel"/>
    <w:tmpl w:val="C3D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53FA0"/>
    <w:multiLevelType w:val="hybridMultilevel"/>
    <w:tmpl w:val="2C808A50"/>
    <w:lvl w:ilvl="0" w:tplc="3F88ADE2">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4556E"/>
    <w:multiLevelType w:val="hybridMultilevel"/>
    <w:tmpl w:val="5EA8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9381C"/>
    <w:multiLevelType w:val="hybridMultilevel"/>
    <w:tmpl w:val="8F0E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A4E57"/>
    <w:multiLevelType w:val="hybridMultilevel"/>
    <w:tmpl w:val="2A847A2A"/>
    <w:lvl w:ilvl="0" w:tplc="C0121CE6">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17364"/>
    <w:multiLevelType w:val="hybridMultilevel"/>
    <w:tmpl w:val="39AE3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A6945"/>
    <w:multiLevelType w:val="hybridMultilevel"/>
    <w:tmpl w:val="7F14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3B559B8"/>
    <w:multiLevelType w:val="hybridMultilevel"/>
    <w:tmpl w:val="589C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C4363E"/>
    <w:multiLevelType w:val="hybridMultilevel"/>
    <w:tmpl w:val="68A630E6"/>
    <w:lvl w:ilvl="0" w:tplc="89C244D8">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1C6EB5"/>
    <w:multiLevelType w:val="hybridMultilevel"/>
    <w:tmpl w:val="DF5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4"/>
  </w:num>
  <w:num w:numId="3">
    <w:abstractNumId w:val="20"/>
  </w:num>
  <w:num w:numId="4">
    <w:abstractNumId w:val="1"/>
  </w:num>
  <w:num w:numId="5">
    <w:abstractNumId w:val="21"/>
  </w:num>
  <w:num w:numId="6">
    <w:abstractNumId w:val="7"/>
  </w:num>
  <w:num w:numId="7">
    <w:abstractNumId w:val="9"/>
  </w:num>
  <w:num w:numId="8">
    <w:abstractNumId w:val="5"/>
  </w:num>
  <w:num w:numId="9">
    <w:abstractNumId w:val="6"/>
  </w:num>
  <w:num w:numId="10">
    <w:abstractNumId w:val="12"/>
  </w:num>
  <w:num w:numId="11">
    <w:abstractNumId w:val="15"/>
  </w:num>
  <w:num w:numId="12">
    <w:abstractNumId w:val="3"/>
  </w:num>
  <w:num w:numId="13">
    <w:abstractNumId w:val="17"/>
  </w:num>
  <w:num w:numId="14">
    <w:abstractNumId w:val="11"/>
  </w:num>
  <w:num w:numId="15">
    <w:abstractNumId w:val="10"/>
  </w:num>
  <w:num w:numId="16">
    <w:abstractNumId w:val="14"/>
  </w:num>
  <w:num w:numId="17">
    <w:abstractNumId w:val="2"/>
  </w:num>
  <w:num w:numId="18">
    <w:abstractNumId w:val="19"/>
  </w:num>
  <w:num w:numId="19">
    <w:abstractNumId w:val="18"/>
  </w:num>
  <w:num w:numId="20">
    <w:abstractNumId w:val="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65"/>
    <w:rsid w:val="00060651"/>
    <w:rsid w:val="0008497A"/>
    <w:rsid w:val="000A4D15"/>
    <w:rsid w:val="000B5C9A"/>
    <w:rsid w:val="000C3A47"/>
    <w:rsid w:val="000F593D"/>
    <w:rsid w:val="000F750A"/>
    <w:rsid w:val="00113DFF"/>
    <w:rsid w:val="001979ED"/>
    <w:rsid w:val="001B4308"/>
    <w:rsid w:val="001C13AE"/>
    <w:rsid w:val="00266C92"/>
    <w:rsid w:val="00276B72"/>
    <w:rsid w:val="00281EA6"/>
    <w:rsid w:val="00326217"/>
    <w:rsid w:val="0035054F"/>
    <w:rsid w:val="003631AF"/>
    <w:rsid w:val="003D4A39"/>
    <w:rsid w:val="003E6766"/>
    <w:rsid w:val="004904B9"/>
    <w:rsid w:val="004B0094"/>
    <w:rsid w:val="004B2C90"/>
    <w:rsid w:val="004B3D46"/>
    <w:rsid w:val="004B3DC0"/>
    <w:rsid w:val="00513BD9"/>
    <w:rsid w:val="0054415B"/>
    <w:rsid w:val="005569C8"/>
    <w:rsid w:val="00573BA5"/>
    <w:rsid w:val="00581752"/>
    <w:rsid w:val="0058227C"/>
    <w:rsid w:val="00592AE7"/>
    <w:rsid w:val="0059556B"/>
    <w:rsid w:val="005B7D9B"/>
    <w:rsid w:val="005C01DA"/>
    <w:rsid w:val="005D0332"/>
    <w:rsid w:val="005D1B22"/>
    <w:rsid w:val="005D638B"/>
    <w:rsid w:val="005E3796"/>
    <w:rsid w:val="005E6CB3"/>
    <w:rsid w:val="00614E87"/>
    <w:rsid w:val="006173EC"/>
    <w:rsid w:val="00620F1B"/>
    <w:rsid w:val="006278FE"/>
    <w:rsid w:val="00643081"/>
    <w:rsid w:val="00656238"/>
    <w:rsid w:val="00674A25"/>
    <w:rsid w:val="006C0E8E"/>
    <w:rsid w:val="00702E35"/>
    <w:rsid w:val="007237D0"/>
    <w:rsid w:val="007411D9"/>
    <w:rsid w:val="007519C9"/>
    <w:rsid w:val="007705FD"/>
    <w:rsid w:val="007723D2"/>
    <w:rsid w:val="007D0765"/>
    <w:rsid w:val="007E4B1C"/>
    <w:rsid w:val="0082202A"/>
    <w:rsid w:val="008267FA"/>
    <w:rsid w:val="008625CE"/>
    <w:rsid w:val="00872736"/>
    <w:rsid w:val="008840E2"/>
    <w:rsid w:val="00893705"/>
    <w:rsid w:val="00897ABA"/>
    <w:rsid w:val="008C1F70"/>
    <w:rsid w:val="008C75EC"/>
    <w:rsid w:val="008D6B59"/>
    <w:rsid w:val="008E5CCF"/>
    <w:rsid w:val="008F1FDC"/>
    <w:rsid w:val="00917EB1"/>
    <w:rsid w:val="00963EF3"/>
    <w:rsid w:val="00973779"/>
    <w:rsid w:val="00976986"/>
    <w:rsid w:val="009953D7"/>
    <w:rsid w:val="009968AD"/>
    <w:rsid w:val="009C62AF"/>
    <w:rsid w:val="009D397A"/>
    <w:rsid w:val="009E460D"/>
    <w:rsid w:val="009E6E0B"/>
    <w:rsid w:val="009E7C5A"/>
    <w:rsid w:val="009F5D09"/>
    <w:rsid w:val="00A07E8B"/>
    <w:rsid w:val="00A57907"/>
    <w:rsid w:val="00A67332"/>
    <w:rsid w:val="00A750E8"/>
    <w:rsid w:val="00A77824"/>
    <w:rsid w:val="00AA318D"/>
    <w:rsid w:val="00AC4A23"/>
    <w:rsid w:val="00B117E3"/>
    <w:rsid w:val="00B155A2"/>
    <w:rsid w:val="00B26FB4"/>
    <w:rsid w:val="00B60716"/>
    <w:rsid w:val="00B71E95"/>
    <w:rsid w:val="00B90E78"/>
    <w:rsid w:val="00BD6B8E"/>
    <w:rsid w:val="00BF2835"/>
    <w:rsid w:val="00C06FA7"/>
    <w:rsid w:val="00C80EC7"/>
    <w:rsid w:val="00CB47FC"/>
    <w:rsid w:val="00CC0C03"/>
    <w:rsid w:val="00CE745C"/>
    <w:rsid w:val="00D147F4"/>
    <w:rsid w:val="00D2204F"/>
    <w:rsid w:val="00D76E37"/>
    <w:rsid w:val="00D7738D"/>
    <w:rsid w:val="00D92778"/>
    <w:rsid w:val="00DA3539"/>
    <w:rsid w:val="00E40993"/>
    <w:rsid w:val="00E6252C"/>
    <w:rsid w:val="00E75D08"/>
    <w:rsid w:val="00E90CF5"/>
    <w:rsid w:val="00EB4F5B"/>
    <w:rsid w:val="00EF1A52"/>
    <w:rsid w:val="00EF1FC0"/>
    <w:rsid w:val="00F02E99"/>
    <w:rsid w:val="00F123F0"/>
    <w:rsid w:val="00FD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 w:type="paragraph" w:customStyle="1" w:styleId="Default">
    <w:name w:val="Default"/>
    <w:rsid w:val="005C01D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 w:type="paragraph" w:customStyle="1" w:styleId="Default">
    <w:name w:val="Default"/>
    <w:rsid w:val="005C01D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8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zefsky@themc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cius\AppData\Roaming\Microsoft\Templates\TP030003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6E34AA-5AB5-41E3-BAD7-642105C2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TP030003055</Template>
  <TotalTime>22</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Facius</dc:creator>
  <cp:lastModifiedBy>VPSGITADMIN</cp:lastModifiedBy>
  <cp:revision>6</cp:revision>
  <cp:lastPrinted>2012-01-18T17:11:00Z</cp:lastPrinted>
  <dcterms:created xsi:type="dcterms:W3CDTF">2013-02-26T16:21:00Z</dcterms:created>
  <dcterms:modified xsi:type="dcterms:W3CDTF">2013-02-26T16:47:00Z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TC030003055</vt:lpwstr>
  </property>
</Properties>
</file>